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 w:eastAsia="微软雅黑"/>
          <w:b/>
          <w:sz w:val="28"/>
        </w:rPr>
        <w:t>Volvo 销售情报 v1.1 — Research Delta Table（v1.0 豆包 vs Perplexity Deep Research vs 独立核验）</w:t>
      </w:r>
    </w:p>
    <w:p>
      <w:pPr>
        <w:spacing w:after="120"/>
        <w:jc w:val="center"/>
      </w:pPr>
      <w:r>
        <w:rPr>
          <w:rFonts w:ascii="Calibri" w:hAnsi="Calibri" w:eastAsia="微软雅黑"/>
          <w:b w:val="0"/>
          <w:color w:val="606060"/>
          <w:sz w:val="16"/>
        </w:rPr>
        <w:t>数据基准 2026-10-27 · 核验 2026-10-28（官方源）· 调和原则：保留原结论，仅证据充分或逻辑更符合真实商业条件才调整。原始 URL 全部保留。</w:t>
      </w:r>
    </w:p>
    <w:p>
      <w:pPr>
        <w:spacing w:after="60"/>
      </w:pPr>
      <w:r>
        <w:rPr>
          <w:rFonts w:ascii="Calibri" w:hAnsi="Calibri" w:eastAsia="微软雅黑"/>
          <w:b/>
          <w:sz w:val="22"/>
        </w:rPr>
        <w:t>■ A. 评级与范围类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</w:tblGrid>
      <w:tr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研究主题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v1.0 结论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Perplexity 结论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独立验证依据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是否冲突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商业影响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处理决定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A1. VLM/ADAS 视频数据智能（Cars/Zenseact）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P0-2 Group VLM 82 / Cars VLM 79.5 P1；将"视频数据智能/场景检索"视为 NVIDIA 未覆盖的空白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Cars/Zenseact 场景检索 70（#5 中位）；Zenseact 已有 ~6,000 列信号表+检索研究（2024 arXiv）；NVIDIA 2026-10=Hyperion/Halos/Alpamayo 压缩替换空间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NVIDIA Cosmos Dataset Search 自 2025-10-29 商用，原生支持 text/video/embedding 语义检索路测视频、corner-case 文本挖掘、"数十亿 clip"；Zenseact NL 检索原型仅 3.3/5 分、非生产系统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是（NVIDIA 空白表述被证伪）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VLM 机会从"空白挖掘"降为"与商用 incumbent（NVIDIA CDS）+客户自研基线对标"；差异化收窄为 ①信号表+视频联合检索（NVIDIA 无文档真空）②多语言（德/中）查询 ③semantic reranking benchmark ④交付形态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Downgrade + Revise——Cars/Zenseact VLM 从 P0 级降为 P1（需授权评估集+现有检索基线），删除"NVIDIA 空白"表述；无 benchmark 证据不得提升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A2. VAS×VLM 数据权属与评级（Volvo Group 侧 VLM）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P0-2 Group VLM 82（双栈数据量叙事）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V.A.S. 运营证据工作流 55（#7），仅缩小到运营/证据流程且数据权利清晰才值得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Aurora 自持感知/规划/训练管线/安全验证（AWS 证据已核实）；Waabi 仿真优先、管线归 Waabi；Volvo 负责整车固件验证；第三方 VLM 引入权公开零披露；Volvo 工程验证数据与 Aurora/Waabi 高速运营数据为不同数据域（强推断）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是（评级大幅高于验证支持的边界）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VAS 机会边界=客户交付/异常回顾/运营证据整理；驾驶数据 PoC 未经权利确认不得准备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Downgrade——VAS VLM 从 P0 降为 P2/条件机会（先画数据与责任边界 + 7 个 Discovery 问题）；原始驾驶视频 PoC 禁止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A3. CoREDaC 需求信号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未覆盖（v1.0 无此信息）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Vinnova 项目 2026-06 启动至 2028-12，资助 SEK 2,132,514，Coordinator=Volvo Personvagnar AB，coverage-aware 采集/去冗余（问题证据，非招标）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Vinnova 官方项目页为唯一权威；资助额是公开资助非供应商预算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无（新增信息）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为 Cars/Zenseact 场景检索提供真实业务钩子与时间窗；也是潜在竞争证据（客户正自建方法）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Enrich（新增）——作为 Discovery 主题与 PoC C 的业务锚点；不得表述为"招标/预算"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A4. Market Intelligence（Cars 产品/市场情报）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Cars MI P1-P2 70.5（未列 P0；Top8 内偏低）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Cars 公共数据产品/市场情报 86（#1），Sponsor Michael Fleiss/Erik Severinson，Pilot=一车型两市场四周期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无独立 listening/CI 工具部署证据（Meltwater 仅 Geely 案例、Brandwatch 等未确认）；2026-10-23 产品计划+经营调整为真实触发；Insights 预算 Owner 未确认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是（Perplexity 评级显著更高）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最快销售入口（公共数据、低摩擦、决策支持场景真实、PoC 可立即设计）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Enrich/Upgrade——Cars MI 升为 P0 级最快入口；如实标注"Consumer Insights 预算 Owner 未确认"；AI MI 不得只因首年预算未知失去销售入口价值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A5. Group 车队/竞品情报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Group 情报方向未单独列 P0（并入其他条目）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Group 车队/竞品/技术采用情报 81（#2），Sponsor Roger Alm/Antoine Duclaux，瑞典/德国或法国/德国双市场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电动卡车推广与自主运输客户扩展为真实主题；B2B 样本稀疏与商业敏感为真实障碍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是（评级提升）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Group 侧最快入口；注意区分外部情报与内部车队遥测（不得混为一谈）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Enrich/Upgrade——升 P0 级（与 Cars MI 并列最快入口）；B2B 样例须避免数据域混淆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A6. Video AI（Cars 发布素材本地化 + Group/Trucks 多语言内容工作流）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Cars Video AI P0-1 84.5 / Group Video AI P0-3 80（"多市场版本化+培训规模化"）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Trucks 多语言销售与培训视频 75（#3）/ Cars 批准素材发布本地化 69（#6）；均从"批准素材增效"切入，禁止整车生成/安全演示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代理体系已具生成 AI 与内容能力（OTW/Code and Theory VNL2024/Valtech/Initiative）；无独立 GenAI 采购证据；Seedance 在拟议欧洲企业项目的可采购版本/签约实体/欧洲处理位置/训练使用/IP 赔偿均未取得足够资料→定位"候选技术非已验证交付产品"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部分（范围与门槛冲突；评级接近）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机会真实但必须重定义范围（hero 切片/本地化/字幕/配音/版本追踪/审批；经销商与车队教育）；30%-50% 节约仅为待验证假设；不得把公开广告视为可自由改编素材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Revise（保 P0 但重定义）——Trucks 内容本地化保持 P0 级（从批准素材切入），Cars 素材本地化 P1；"30-50% 节约"标注待验证假设；核实 Seedance 对德/法/瑞语言支持方式并区分生成/配音/字幕/本地化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A7. Group TTI 工程工作流 Agent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Group R&amp;D P1 78（工程效率方向）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Group TTI 跨工件工程 Agent 73（#4）；DTO 独立平台接口；Sponsor Jens Holtinger（2026-01 起）、Magnus Nilsson 数字治理、Jonn Lantz 技术发现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Copilot 2024 微软案例已确认广泛采用；Group 有 Copilot/Agentic AI 推进证据；TTI 端到端职责（采购/开发/生产）确认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部分（范围收敛：非平台替换）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战略价值最高之一（SDV 工程规模化），但入口依赖工程 Owner 确认与脱敏工件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Revise（保 P1 升战略分）——定位"跨工件专用 Agent+受控评估"；明确不替换 Horizon/Copilot；TTI/DTO/Coretura 分开分析（Coretura 是 Volvo Group 与 Daimler Truck 合资，采购权不归 Volvo 单方）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A8. AAOS 平台替换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未单列为负面（Cars R&amp;D P1 77.5 含平台协作表述）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Cars 通用 AAOS/AI 研发平台替换 51（#8 明确负面）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Horizon 已占 AAOS 云开发/虚拟测试/工作台/AI 工作流；HuginCore 已建成；Copilot 在位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是（v1.0 未充分负面化）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不得向客户推销完整研发平台替换；只保留"平台外缺口"议题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Downgrade/Remove——明确负面清单第一项；不推动、不进 Pipeline</w:t>
            </w:r>
          </w:p>
        </w:tc>
      </w:tr>
    </w:tbl>
    <w:p>
      <w:pPr>
        <w:spacing w:after="40"/>
      </w:pPr>
      <w:r>
        <w:rPr>
          <w:rFonts w:ascii="Calibri" w:hAnsi="Calibri" w:eastAsia="微软雅黑"/>
          <w:b w:val="0"/>
          <w:sz w:val="12"/>
        </w:rPr>
      </w:r>
    </w:p>
    <w:p>
      <w:pPr>
        <w:spacing w:after="60"/>
      </w:pPr>
      <w:r>
        <w:rPr>
          <w:rFonts w:ascii="Calibri" w:hAnsi="Calibri" w:eastAsia="微软雅黑"/>
          <w:b/>
          <w:sz w:val="22"/>
        </w:rPr>
        <w:t>■ B. 事实与边界类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</w:tblGrid>
      <w:tr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研究主题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v1.0 结论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Perplexity 结论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独立验证依据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是否冲突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商业影响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处理决定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B1. Horizon 边界与 9x/40% 宣称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描述为"AAOS 研发平台首发伙伴、扩展生成式 AI"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全球 AAOS 开发环境迁移（Cuttlefish 虚拟环境/设备农场/AI-assisted workflows）；9x 与 40% 为合作方宣称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Accenture 新闻稿 2026-09-22 原文限定 AAOS；"up to 9x/40%"三方联合宣称非独立审计；Gregor Zetsche 官方引语确认职务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是（边界与宣称口径）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销售话术须分开 Trae/模型 API/AI-SDLC 方法论与 Horizon；不得默认客户需要另一套完整平台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Revise——v1.1 明确 Horizon 边界；9x/40% 标注"合作方宣称（claimed target）"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B2. GitHub Copilot incumbent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提及 Copilot 采用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Microsoft 2024 披露 Volvo Cars 广泛推广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微软官方案例页确认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无（补充证据）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通用 IDE 助手差异化弱；跨工件工作流差异化强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Enrich——明确 incumbent 地位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B3. HaleyTek 股比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全资（2024-08 ECARX 出售 40%）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2023 年报 60/40，"2026 最新需复核"（与 v1.0 冲突）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ECARX 2024-08-01 以 SEK 210,000 名义对价出售全部 40% 给 Volvo Cars（ECARX IR + SEC 6-K/20-F + Volvo Q3 2024 Interim）；2026 官网 Our story 不再提 ECARX；旧缓存页为交易前文案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表面冲突，Perplexity 基于旧年报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无（对销售面弱相关，但对组织图准确性重要）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Keep v1.0（全资），Enrich 证据链；建议 Bolagsverket 交叉核对（Open Question 保留）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B4. Zenseact 全资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全资｜Perplexity：全资（2025 可持续报告）｜独立验证：Zenseact Sustainability Report 2025 原文确认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—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—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无｜处理：Keep（已核实）；注意 Zenseact 属 Volvo Cars 与 Group 无关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—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—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B5. Volvo Cars 经营与产品计划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SEK 5bn 降本 + 约 2,500 职位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SEK 5bn（2027 年底充分体现）+ 13 款新车至 2030 + 10-02 撤销量/现金流指引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Transcript 2026-09-17 确认 13 款（6 中国+7 西方，口播"30"为口误）；SEK 8B(2025)+5B；EBIT&gt;8%；ICTS 防火墙承诺原文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无（Enrich）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小周期可终止付费试验优先；13 款新车=素材本地化与情报的持续触发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Enrich——13 款、2027 年底、ICTS 承诺入 v1.1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B6. China-Europe 数据摩擦与"中国背景"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未展开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China-Europe 章节（ICTS、两套技术栈、五类数据分级）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Hakan 原文"customer data has to be really firewalls between the West…all data is kept in the West"；美国商务部 ICTS 批准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无（新增强约束）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五类数据摩擦分级指导 PoC 输入选择；中国背景不得作采购理由；不得把中国研发协同理解为数据自由流通证明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Enrich（新增硬约束章节）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B7. 联系人名单合并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79 条（Group 42 + Cars 37；含 Saegh-Fleming/Bakkenes/Zellmer/Åsa Alström 等官方页来源）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32 人名单（Cars 现管理层 Severinson/Fleiss/Petrofski/Gamboni/Hansson/Hu/Ingenlath；Group 增补 Nilsson TTI/Blanc/Srivastava/Mamaghani/Wileke/Niklasson/BU Presidents；历史线索 Lindström/Lewis-Lück/Jin/Nouri/Sivencrona）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Severinson CCO(2025-08)、Fleiss CSPO(2025-08)、Hansson CFO(2025-04)、Hu GC、Nilsson=Cars Chief Manufacturing Officer(2026-09，非营销 CMO)、Wileke EVP、Niklasson Head CampX、Lewis-Lück CFO&amp;CDO Zenseact、Zetsche 部分核实、Srivastava/Blanc 待核实；Perplexity 未提及 Saegh-Fleming/Bakkenes（v1.0 官方页来源保留）；GEB 页 CTO 头衔冲突（Stenqvist vs Holtinger）待核实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部分（同名 Magnus Nilsson 两人确认；My Lindström 归属存疑）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补充购买中心缺口（Consumer Insights 负责人/品牌内容运营负责人/CoREDaC 负责人/Zenseact 数据引擎 Owner/工程工具采购经理）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Enrich（合并两名单，79 条全保留）——CRM 以公司+职务区分同名者；未核实者标 Unverified+检索词；Gregor Zetsche 外联前复核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B8. 活动地图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12 场（electronica/embedded world/Reuters Automotive/IAA 等，事件代理已核验）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仅 MathWorks 核验；MobilityXlab/AI Sweden/Hannover Messe 2027/IAA 2027 未完成官方核验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MathWorks 官方议程+3 演讲者+Sandhya Lingadahalli(Moderator)已核实；IAA 2027 日期 v1.0 事件代理已核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部分（核验深度差异，非事实冲突）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MathWorks=唯一"已确认参会+议程核验"节点；其余活动按真实参会可能性/目标客户密度/可约见性重排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Keep（保留 12 场），MathWorks 置顶；其余标注"候选，按约见数量决定投入"；法国覆盖缺口如实说明（不虚构会议）</w:t>
            </w:r>
          </w:p>
        </w:tc>
      </w:tr>
    </w:tbl>
    <w:p>
      <w:pPr>
        <w:spacing w:after="40"/>
      </w:pPr>
      <w:r>
        <w:rPr>
          <w:rFonts w:ascii="Calibri" w:hAnsi="Calibri" w:eastAsia="微软雅黑"/>
          <w:b w:val="0"/>
          <w:sz w:val="12"/>
        </w:rPr>
      </w:r>
    </w:p>
    <w:p>
      <w:pPr>
        <w:spacing w:after="60"/>
      </w:pPr>
      <w:r>
        <w:rPr>
          <w:rFonts w:ascii="Calibri" w:hAnsi="Calibri" w:eastAsia="微软雅黑"/>
          <w:b/>
          <w:sz w:val="22"/>
        </w:rPr>
        <w:t>■ C. 口径类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54"/>
        <w:gridCol w:w="1554"/>
        <w:gridCol w:w="1554"/>
        <w:gridCol w:w="1554"/>
        <w:gridCol w:w="1554"/>
        <w:gridCol w:w="1554"/>
        <w:gridCol w:w="1554"/>
      </w:tblGrid>
      <w:tr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研究主题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v1.0 结论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Perplexity 结论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独立验证依据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是否冲突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商业影响</w:t>
            </w:r>
          </w:p>
        </w:tc>
        <w:tc>
          <w:tcPr>
            <w:tcW w:type="dxa" w:w="1554"/>
          </w:tcPr>
          <w:p>
            <w:r>
              <w:rPr>
                <w:b/>
              </w:rPr>
            </w:r>
            <w:r>
              <w:rPr>
                <w:rFonts w:ascii="Calibri" w:hAnsi="Calibri" w:eastAsia="微软雅黑"/>
                <w:b/>
                <w:sz w:val="15"/>
              </w:rPr>
              <w:t>处理决定</w:t>
            </w:r>
          </w:p>
        </w:tc>
      </w:tr>
      <w:tr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C1. 预算/TAM 口径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估算账户级 AI 预算潜力（含"数千万欧元"级表述，来源标假设）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未获得足够可靠的 2025-2026 完整报表数据支持统一可比的 AI/软件支出拆分；不提供年度 AI 预算/模型服务采购额/Horizon-NVIDIA-Kognic 合同金额/TAM 式账户预算；研发总支出与数字化员工数不能直接转化为可销售 AI 预算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—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是（v1.0 预算表述缺乏可验证依据）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v1.1 必须删除/降级一切未经来源支撑的金额表述；用"问题规模/使用频率/购买路径"替代 TAM 数字</w:t>
            </w:r>
          </w:p>
        </w:tc>
        <w:tc>
          <w:tcPr>
            <w:tcW w:type="dxa" w:w="1554"/>
          </w:tcPr>
          <w:p>
            <w:r/>
            <w:r>
              <w:rPr>
                <w:rFonts w:ascii="Calibri" w:hAnsi="Calibri" w:eastAsia="微软雅黑"/>
                <w:sz w:val="15"/>
              </w:rPr>
              <w:t>Revise（Remove 未受支持的金额）——符合用户硬约束"不虚构预算/采购意向/金额"</w:t>
            </w:r>
          </w:p>
        </w:tc>
      </w:tr>
    </w:tbl>
    <w:p>
      <w:pPr>
        <w:spacing w:after="40"/>
      </w:pPr>
      <w:r>
        <w:rPr>
          <w:rFonts w:ascii="Calibri" w:hAnsi="Calibri" w:eastAsia="微软雅黑"/>
          <w:b w:val="0"/>
          <w:sz w:val="12"/>
        </w:rPr>
      </w:r>
    </w:p>
    <w:p>
      <w:pPr>
        <w:spacing w:after="80"/>
      </w:pPr>
      <w:r>
        <w:rPr>
          <w:rFonts w:ascii="Calibri" w:hAnsi="Calibri" w:eastAsia="微软雅黑"/>
          <w:b w:val="0"/>
          <w:color w:val="606060"/>
          <w:sz w:val="16"/>
        </w:rPr>
        <w:t>说明：Evidence Register 四分类（Verified Fact / Strong Inference / Hypothesis / Unverified-Contradictory）及全部原始 URL 见 Volvo_销售情报报告_v1.1.html 与 research/ 目录核验文件。</w:t>
      </w:r>
    </w:p>
    <w:sectPr w:rsidR="00FC693F" w:rsidRPr="0006063C" w:rsidSect="00034616">
      <w:pgSz w:w="12240" w:h="15840"/>
      <w:pgMar w:top="737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