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alibri" w:hAnsi="Calibri" w:eastAsia="微软雅黑"/>
          <w:b/>
          <w:sz w:val="28"/>
        </w:rPr>
        <w:t>Volvo 销售情报 v1.1 — Executive Revision Summary（一页）</w:t>
      </w:r>
    </w:p>
    <w:p>
      <w:pPr>
        <w:spacing w:after="120"/>
        <w:jc w:val="center"/>
      </w:pPr>
      <w:r>
        <w:rPr>
          <w:rFonts w:ascii="Calibri" w:hAnsi="Calibri" w:eastAsia="微软雅黑"/>
          <w:b w:val="0"/>
          <w:color w:val="606060"/>
          <w:sz w:val="16"/>
        </w:rPr>
        <w:t>数据基准 2026-10-27 · 核验 2026-10-28 · 内部建议稿（外联不实际发送）</w:t>
      </w:r>
    </w:p>
    <w:p>
      <w:pPr>
        <w:spacing w:after="20"/>
      </w:pPr>
      <w:r>
        <w:rPr>
          <w:rFonts w:ascii="Calibri" w:hAnsi="Calibri" w:eastAsia="微软雅黑"/>
          <w:b/>
          <w:sz w:val="19"/>
        </w:rPr>
        <w:t>■ v1.0 最值得保留的 5 项</w:t>
      </w:r>
    </w:p>
    <w:p>
      <w:pPr>
        <w:spacing w:after="100"/>
      </w:pPr>
      <w:r>
        <w:rPr>
          <w:rFonts w:ascii="Calibri" w:hAnsi="Calibri" w:eastAsia="微软雅黑"/>
          <w:b w:val="0"/>
          <w:sz w:val="18"/>
        </w:rPr>
        <w:t>①79 条联系人两全表与 14 字段结构（含官方页来源的 Saegh-Fleming/Bakkenes/Zellmer 等 Perplexity 未覆盖人员）；②MathWorks 2026-11-10 论坛核验与三位演讲者 Bonus 条目；③两账户（Volvo Group / Volvo Cars）独立经营与各自机会矩阵框架；④Top 20+3 Playbook 英文文案（字符/词数已机器校验）；⑤30/60/90 与风险红线结构（视觉与章节骨架）。</w:t>
      </w:r>
    </w:p>
    <w:p>
      <w:pPr>
        <w:spacing w:after="20"/>
      </w:pPr>
      <w:r>
        <w:rPr>
          <w:rFonts w:ascii="Calibri" w:hAnsi="Calibri" w:eastAsia="微软雅黑"/>
          <w:b/>
          <w:sz w:val="19"/>
        </w:rPr>
        <w:t>■ Perplexity 最重要新增证据（6 项）</w:t>
      </w:r>
    </w:p>
    <w:p>
      <w:pPr>
        <w:spacing w:after="100"/>
      </w:pPr>
      <w:r>
        <w:rPr>
          <w:rFonts w:ascii="Calibri" w:hAnsi="Calibri" w:eastAsia="微软雅黑"/>
          <w:b w:val="0"/>
          <w:sz w:val="18"/>
        </w:rPr>
        <w:t>①NVIDIA Cosmos Dataset Search 已商用（2025-10）——"视频数据智能空白"论被证伪；②CoREDaC Vinnova 项目（2026-06 起，SEK 2,132,514）——场景检索的真实业务钩子；③Zenseact 已有 6,000 列信号表+检索研究（2024 arXiv）——VLM 必须对标客户自研基线；④Horizon 官方范围（仅 AAOS 开发环境；9x/40% 为合作方宣称）与 HuginCore 建成/ICTS 防火墙承诺（Transcript 逐字）——平台替换与跨境数据两条硬边界；⑤Market Intelligence 升至两账户最快销售入口（Perplexity #1/#2）；⑥Volvo Cars 2026-10-23 追加降本 + 13 款新车至 2030（2027 年底充分体现）——小周期可终止付费试验优先。</w:t>
      </w:r>
    </w:p>
    <w:p>
      <w:pPr>
        <w:spacing w:after="20"/>
      </w:pPr>
      <w:r>
        <w:rPr>
          <w:rFonts w:ascii="Calibri" w:hAnsi="Calibri" w:eastAsia="微软雅黑"/>
          <w:b/>
          <w:sz w:val="19"/>
        </w:rPr>
        <w:t>■ 需纠正的重大结论（4 项）</w:t>
      </w:r>
    </w:p>
    <w:p>
      <w:pPr>
        <w:spacing w:after="100"/>
      </w:pPr>
      <w:r>
        <w:rPr>
          <w:rFonts w:ascii="Calibri" w:hAnsi="Calibri" w:eastAsia="微软雅黑"/>
          <w:b w:val="0"/>
          <w:sz w:val="18"/>
        </w:rPr>
        <w:t>①VAS VLM 从 P0 降至 P2（数据权属零披露，原始驾驶视频 PoC 禁止）；②Cars/Zenseact VLM 从 P0 降至 P1（NVIDIA CDS incumbent + 客户自研基线；差异化收敛为信号+视频联合检索/多语言/reranking benchmark）；③Cars Video AI 从 P0-1 降至 P1 且范围收敛为批准素材本地化（代理已有生成 AI 能力；30-50% 节约为待验证假设）；④AAOS 平台替换明确负面（Horizon+HuginCore+Copilot 三重 incumbent）——v1.0 未充分负面化。</w:t>
      </w:r>
    </w:p>
    <w:p>
      <w:pPr>
        <w:spacing w:after="20"/>
      </w:pPr>
      <w:r>
        <w:rPr>
          <w:rFonts w:ascii="Calibri" w:hAnsi="Calibri" w:eastAsia="微软雅黑"/>
          <w:b/>
          <w:sz w:val="19"/>
        </w:rPr>
        <w:t>■ 机会优先级变化</w:t>
      </w:r>
    </w:p>
    <w:p>
      <w:pPr>
        <w:spacing w:after="100"/>
      </w:pPr>
      <w:r>
        <w:rPr>
          <w:rFonts w:ascii="Calibri" w:hAnsi="Calibri" w:eastAsia="微软雅黑"/>
          <w:b w:val="0"/>
          <w:sz w:val="18"/>
        </w:rPr>
        <w:t>最快入口=Cars MI（PoC B）与 Group MI 并列第一，Trucks 内容本地化（PoC A）其次；战略价值最高=TTI 工程 Agent（PoC D）与 Zenseact 场景检索（PoC C）；不投入=平台替换、VAS 驾驶数据、低价/中国背景话术。</w:t>
      </w:r>
    </w:p>
    <w:p>
      <w:pPr>
        <w:spacing w:after="20"/>
      </w:pPr>
      <w:r>
        <w:rPr>
          <w:rFonts w:ascii="Calibri" w:hAnsi="Calibri" w:eastAsia="微软雅黑"/>
          <w:b/>
          <w:sz w:val="19"/>
        </w:rPr>
        <w:t>■ 对未来 30 天销售行动影响</w:t>
      </w:r>
    </w:p>
    <w:p>
      <w:pPr>
        <w:spacing w:after="100"/>
      </w:pPr>
      <w:r>
        <w:rPr>
          <w:rFonts w:ascii="Calibri" w:hAnsi="Calibri" w:eastAsia="微软雅黑"/>
          <w:b w:val="0"/>
          <w:sz w:val="18"/>
        </w:rPr>
        <w:t>①11-10 MathWorks 为唯一确认执行节点（3 位 Volvo 演讲者+MathWorks 侧引荐，会前完成报名/预约/问题卡）；②11 月底前完成 2 个基线访谈（MI+TTI）与 1 个 MI 样本，PoC 提案赶在圣诞审批空窗前成形；③所有外联前完成 Seedance 欧洲企业能力内部核验（硬闸口）；④CRM 按公司+职务区分同名者（两个 Magnus Nilsson），未核实任职/URL 一律 Unverified。---</w:t>
      </w:r>
    </w:p>
    <w:p>
      <w:pPr>
        <w:spacing w:after="0"/>
      </w:pPr>
      <w:r>
        <w:rPr>
          <w:rFonts w:ascii="Calibri" w:hAnsi="Calibri" w:eastAsia="微软雅黑"/>
          <w:b w:val="0"/>
          <w:color w:val="606060"/>
          <w:sz w:val="16"/>
        </w:rPr>
        <w:t>说明：全部结论按'已验证事实/强推断/待核实假设/未找到证据'四类标注，可独立追溯（见 Research Delta Table 与 Evidence Register）。</w:t>
      </w:r>
    </w:p>
    <w:sectPr w:rsidR="00FC693F" w:rsidRPr="0006063C" w:rsidSect="00034616">
      <w:pgSz w:w="12240" w:h="15840"/>
      <w:pgMar w:top="737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